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955" w:rsidRPr="00547A21" w:rsidRDefault="00FA2955" w:rsidP="00547A21">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547A21">
        <w:rPr>
          <w:rFonts w:ascii="宋体" w:eastAsia="宋体" w:hAnsi="宋体"/>
          <w:b/>
          <w:color w:val="FF0000"/>
          <w:sz w:val="28"/>
        </w:rPr>
        <w:t>课时规范练11　太平天国运动与辛亥革命</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一、选择题</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b/>
          <w:sz w:val="21"/>
        </w:rPr>
        <w:t>1</w:t>
      </w:r>
      <w:r w:rsidRPr="00547A21">
        <w:rPr>
          <w:rFonts w:ascii="宋体" w:eastAsia="宋体" w:hAnsi="宋体"/>
          <w:sz w:val="21"/>
        </w:rPr>
        <w:t>.(2018清华大学高三学生标准学术能力诊断性测试,28)(拜上帝教)“在很大程度上既对基督教有依赖性而又扭曲了基督教的宗教精神,既对中国传统文化有继承性而又窒息了中国传统文化的人文精神”。这旨在强调拜上帝教(　　)</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 xml:space="preserve">　　　　　　　　　　　　　　　　　　　</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A.是引进西方文化的先驱</w:t>
      </w:r>
      <w:r w:rsidRPr="00547A21">
        <w:rPr>
          <w:rFonts w:ascii="宋体" w:eastAsia="宋体" w:hAnsi="宋体"/>
          <w:sz w:val="21"/>
        </w:rPr>
        <w:tab/>
        <w:t>B.强调发展对象的民间性</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C.中西文化畸形结合产物</w:t>
      </w:r>
      <w:r w:rsidRPr="00547A21">
        <w:rPr>
          <w:rFonts w:ascii="宋体" w:eastAsia="宋体" w:hAnsi="宋体"/>
          <w:sz w:val="21"/>
        </w:rPr>
        <w:tab/>
        <w:t>D.深植中国传统文化土壤</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答案</w:t>
      </w:r>
      <w:r w:rsidRPr="00547A21">
        <w:rPr>
          <w:rFonts w:ascii="宋体" w:eastAsia="宋体" w:hAnsi="宋体"/>
          <w:sz w:val="21"/>
        </w:rPr>
        <w:t>C</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解析</w:t>
      </w:r>
      <w:r w:rsidRPr="00547A21">
        <w:rPr>
          <w:rFonts w:ascii="宋体" w:eastAsia="宋体" w:hAnsi="宋体"/>
          <w:sz w:val="21"/>
        </w:rPr>
        <w:t>基督教的传入已有多年的历史,故A项错误;由材料“对中国传统文化有继承性而又窒息了中国传统文化的人文精神”不能得出其发展对象的民间性,故B项错误;由材料“既对基督教有依赖性而又扭曲了基督教的宗教精神,既对中国传统文化有继承性而又窒息了中国传统文化的人文精神”可得出中西文化的结合,但不是正常的结合,故C项正确;“对基督教有依赖性而又扭曲了基督教的宗教精神”强调对外来文化的借鉴,故D项错误。</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b/>
          <w:sz w:val="21"/>
        </w:rPr>
        <w:t>2</w:t>
      </w:r>
      <w:r w:rsidRPr="00547A21">
        <w:rPr>
          <w:rFonts w:ascii="宋体" w:eastAsia="宋体" w:hAnsi="宋体"/>
          <w:sz w:val="21"/>
        </w:rPr>
        <w:t>.(2018江西赣州期末,9)1858年,英国侵华军司令额尔金率舰队自上海沿江西上。在天京江面,太平军与其交火。事后,太平天国向英方道歉,并同意在事先通知的条件下英国船舰可在长江航行。由此可见,太平天国(　　)</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A.受《北京条约》影响较深</w:t>
      </w:r>
      <w:r w:rsidRPr="00547A21">
        <w:rPr>
          <w:rFonts w:ascii="宋体" w:eastAsia="宋体" w:hAnsi="宋体"/>
          <w:sz w:val="21"/>
        </w:rPr>
        <w:tab/>
        <w:t>B.通晓国际水路交往规则</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C.迫切学习西方的强烈愿望</w:t>
      </w:r>
      <w:r w:rsidRPr="00547A21">
        <w:rPr>
          <w:rFonts w:ascii="宋体" w:eastAsia="宋体" w:hAnsi="宋体"/>
          <w:sz w:val="21"/>
        </w:rPr>
        <w:tab/>
        <w:t>D.没有认清列强侵华本质</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答案</w:t>
      </w:r>
      <w:r w:rsidRPr="00547A21">
        <w:rPr>
          <w:rFonts w:ascii="宋体" w:eastAsia="宋体" w:hAnsi="宋体"/>
          <w:sz w:val="21"/>
        </w:rPr>
        <w:t>D</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解析</w:t>
      </w:r>
      <w:r w:rsidRPr="00547A21">
        <w:rPr>
          <w:rFonts w:ascii="宋体" w:eastAsia="宋体" w:hAnsi="宋体"/>
          <w:sz w:val="21"/>
        </w:rPr>
        <w:t>太平天国运动反对清政府统治,不会承认清政府所签条约,故A项错误;材料中“太平天国向英方道歉,并同意在事先通知的条件下英国船舰可在长江航行”,不能有效维护国家内河航运权,故B项错误;材料不能体现太平天国向西方学习的愿望,故C项错误;根据材料“太平天国向英方道歉,并同意在事先通知的条件下英国船舰可在长江航行”可知,太平天国没有认清英国的侵略本质并予以有效地还击,故D项正确。</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b/>
          <w:sz w:val="21"/>
        </w:rPr>
        <w:lastRenderedPageBreak/>
        <w:t>3</w:t>
      </w:r>
      <w:r w:rsidRPr="00547A21">
        <w:rPr>
          <w:rFonts w:ascii="宋体" w:eastAsia="宋体" w:hAnsi="宋体"/>
          <w:sz w:val="21"/>
        </w:rPr>
        <w:t>.洪仁玕《资政新篇》记述:“恳自今而后,可断则断,不宜断者付小弟掌率六部等议定再献,不致自负其咎,皆所以重尊严之圣体也。或更立一无情面之谏议在侧,以辅圣聪不逮。”对此理解正确的是</w:t>
      </w:r>
      <w:r w:rsidRPr="00547A21">
        <w:rPr>
          <w:rFonts w:ascii="宋体" w:eastAsia="宋体" w:hAnsi="宋体"/>
          <w:sz w:val="21"/>
        </w:rPr>
        <w:ptab w:relativeTo="margin" w:alignment="right" w:leader="none"/>
      </w:r>
      <w:r w:rsidRPr="00547A21">
        <w:rPr>
          <w:rFonts w:ascii="宋体" w:eastAsia="宋体" w:hAnsi="宋体"/>
          <w:sz w:val="21"/>
        </w:rPr>
        <w:t>(　　)</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A.是天国早期的施政纲领</w:t>
      </w:r>
      <w:r w:rsidRPr="00547A21">
        <w:rPr>
          <w:rFonts w:ascii="宋体" w:eastAsia="宋体" w:hAnsi="宋体"/>
          <w:sz w:val="21"/>
        </w:rPr>
        <w:tab/>
        <w:t>B.带有明显的空想色彩</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C.严厉批评天王独断专行</w:t>
      </w:r>
      <w:r w:rsidRPr="00547A21">
        <w:rPr>
          <w:rFonts w:ascii="宋体" w:eastAsia="宋体" w:hAnsi="宋体"/>
          <w:sz w:val="21"/>
        </w:rPr>
        <w:tab/>
        <w:t>D.包含一定的民主意识</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答案</w:t>
      </w:r>
      <w:r w:rsidRPr="00547A21">
        <w:rPr>
          <w:rFonts w:ascii="宋体" w:eastAsia="宋体" w:hAnsi="宋体"/>
          <w:sz w:val="21"/>
        </w:rPr>
        <w:t>D</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解析</w:t>
      </w:r>
      <w:r w:rsidRPr="00547A21">
        <w:rPr>
          <w:rFonts w:ascii="宋体" w:eastAsia="宋体" w:hAnsi="宋体"/>
          <w:sz w:val="21"/>
        </w:rPr>
        <w:t>太平天国早期的施政纲领是《天朝田亩制度》,故A项错误;带有明显空想色彩的是《天朝田亩制度》,故B项错误;材料中“不宜断者付小弟掌率六部等议定再献,不致自负其咎,皆所以重尊严之圣体也”表明洪仁玕对天王的尊重,不是严厉批评,故C项错误;材料“不宜断者付小弟掌率六部等议定再献,不致自负其咎”体现了一定的民主性,故D项正确。</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b/>
          <w:sz w:val="21"/>
        </w:rPr>
        <w:t>4</w:t>
      </w:r>
      <w:r w:rsidRPr="00547A21">
        <w:rPr>
          <w:rFonts w:ascii="宋体" w:eastAsia="宋体" w:hAnsi="宋体"/>
          <w:sz w:val="21"/>
        </w:rPr>
        <w:t>.(2018河南洛阳期末,14)武昌起义后,由于立宪派拥有雄厚的经济实力和广泛的社会影响力,他们的转向扩大了革命的阵营和力量;而旧官僚在革命到来之时,则选择了反正、独立或是逃亡。这些现象(　　)</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A.使资产阶级革命派掌握地方政权</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B.加速了清朝统治的土崩瓦解</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C.说明辛亥革命具有广泛群众基础</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D.说明民主共和观念深入人心</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答案</w:t>
      </w:r>
      <w:r w:rsidRPr="00547A21">
        <w:rPr>
          <w:rFonts w:ascii="宋体" w:eastAsia="宋体" w:hAnsi="宋体"/>
          <w:sz w:val="21"/>
        </w:rPr>
        <w:t>B</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解析</w:t>
      </w:r>
      <w:r w:rsidRPr="00547A21">
        <w:rPr>
          <w:rFonts w:ascii="宋体" w:eastAsia="宋体" w:hAnsi="宋体"/>
          <w:sz w:val="21"/>
        </w:rPr>
        <w:t>据材料立宪派“转向扩大了革命的阵营和力量”可知武昌起义扩大了革命的社会基础,并非革命派掌握地方政权,故A项错误;材料“他们的转向扩大了革命的阵营和力量;而旧官僚在革命到来之时,则选择了反正、独立或是逃亡”说明立宪派与旧官僚投身革命,加速了清王朝的土崩瓦解,故B项正确;材料强调的是加速清王朝的瓦解而非群众基础广泛,故C项错误;材料主要强调辛亥革命对清王朝的影响,并非建立资产阶级共和国的影响,故D项错误。</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b/>
          <w:sz w:val="21"/>
        </w:rPr>
        <w:t>5</w:t>
      </w:r>
      <w:r w:rsidRPr="00547A21">
        <w:rPr>
          <w:rFonts w:ascii="宋体" w:eastAsia="宋体" w:hAnsi="宋体"/>
          <w:sz w:val="21"/>
        </w:rPr>
        <w:t>.(2018新疆二模,30)1911年12月,南京临时政府组建时,革命军所用的旗帜,湖北方面是共进会的“十八星旗”,南京方面是自制的“五色旗”,广东方面是“青天白日旗”。这反映出(　　)</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A.革命军内部缺乏权威领导</w:t>
      </w:r>
      <w:r w:rsidRPr="00547A21">
        <w:rPr>
          <w:rFonts w:ascii="宋体" w:eastAsia="宋体" w:hAnsi="宋体"/>
          <w:sz w:val="21"/>
        </w:rPr>
        <w:tab/>
        <w:t>B.全国的革命形势如火燎原</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lastRenderedPageBreak/>
        <w:t>C.清王朝统治已经土崩瓦解</w:t>
      </w:r>
      <w:r w:rsidRPr="00547A21">
        <w:rPr>
          <w:rFonts w:ascii="宋体" w:eastAsia="宋体" w:hAnsi="宋体"/>
          <w:sz w:val="21"/>
        </w:rPr>
        <w:tab/>
        <w:t>D.革命党人防止袁世凯夺权</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答案</w:t>
      </w:r>
      <w:r w:rsidRPr="00547A21">
        <w:rPr>
          <w:rFonts w:ascii="宋体" w:eastAsia="宋体" w:hAnsi="宋体"/>
          <w:sz w:val="21"/>
        </w:rPr>
        <w:t>A</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解析</w:t>
      </w:r>
      <w:r w:rsidRPr="00547A21">
        <w:rPr>
          <w:rFonts w:ascii="宋体" w:eastAsia="宋体" w:hAnsi="宋体"/>
          <w:sz w:val="21"/>
        </w:rPr>
        <w:t>临时政府建立时期,各区域旗帜不一致,各自为政,说明革命军内部缺乏统一权威,故A项正确;辛亥革命成功后在南方地区影响较大,故B项错误;南京临时政府成立后形成与清政府南北对峙的政权,故C项错误;材料反映了革命军内部问题,而非对袁世凯的政策,故D项错误。</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b/>
          <w:sz w:val="21"/>
        </w:rPr>
        <w:t>6</w:t>
      </w:r>
      <w:r w:rsidRPr="00547A21">
        <w:rPr>
          <w:rFonts w:ascii="宋体" w:eastAsia="宋体" w:hAnsi="宋体"/>
          <w:sz w:val="21"/>
        </w:rPr>
        <w:t>.(2018辽宁六校协作体期中,35)1912年2月12日颁布《清帝逊位诏书》曰:“……是外观大势,内审舆情,特率皇帝将统治权公诸全国,定为共和立宪政体,近慰海内厌乱望治之心,远协古圣天下为公之义。”该诏书(　　)</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A.以和平方式宣告了清王朝的覆灭</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B.体现了清帝对君主立宪政体的向往</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C.标志着中国封建制度的结束</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D.为中华民国成立创造了有利条件</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答案</w:t>
      </w:r>
      <w:r w:rsidRPr="00547A21">
        <w:rPr>
          <w:rFonts w:ascii="宋体" w:eastAsia="宋体" w:hAnsi="宋体"/>
          <w:sz w:val="21"/>
        </w:rPr>
        <w:t>A</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解析</w:t>
      </w:r>
      <w:r w:rsidRPr="00547A21">
        <w:rPr>
          <w:rFonts w:ascii="宋体" w:eastAsia="宋体" w:hAnsi="宋体"/>
          <w:sz w:val="21"/>
        </w:rPr>
        <w:t>据材料“《清帝逊位诏书》”和“特率皇帝将统治权公诸全国”可知这是以和平方式宣告清政府灭亡,故A项正确;据材料“是外观大势,内审舆情”可知清帝不是主动退位,材料中“定为共和立宪政体”也表明是共和政体而不是君主立宪,故B项错误;清帝退位后中国仍为半殖民地半封建社会,故C项错误;中华民国成立于1912年1月1日,故D项错误。</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二、非选择题</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b/>
          <w:sz w:val="21"/>
        </w:rPr>
        <w:t>7</w:t>
      </w:r>
      <w:r w:rsidRPr="00547A21">
        <w:rPr>
          <w:rFonts w:ascii="宋体" w:eastAsia="宋体" w:hAnsi="宋体"/>
          <w:sz w:val="21"/>
        </w:rPr>
        <w:t>.(2018河北沧州质量监测,25)阅读材料,完成下列要求。</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材料一　为了维护满洲贵族的利益和特权,清初、中期推行高度的中央集权体制,清廷注重提高地方督抚中满员的比例,出任总督的旗员比例尤高。以1837年为例,先后任总督者共10人,其中有7位旗人,占70%。同年任巡抚者共20人,其中有8位旗人,占40%。1860年后,湘淮军取代八旗、绿营兵成为清军主力,各地的军政大权多落入湘淮系势力手中。据统计,仅湘系集团,官至总督、巡抚、尚书、侍郎、提督者即有数十人之多;官至道员、总兵以上者又有100多人。而在1864年,在10名总督中,旗员只有3人,占30%,在担任过巡抚的19人中,则是清一色的汉员。其势力从长江中下游各省扩展至华南、西南及直隶、山东、河南、陕西等北方省份。自湘军起,兵归国有一变而为兵</w:t>
      </w:r>
      <w:r w:rsidRPr="00547A21">
        <w:rPr>
          <w:rFonts w:ascii="宋体" w:eastAsia="宋体" w:hAnsi="宋体"/>
          <w:sz w:val="21"/>
        </w:rPr>
        <w:lastRenderedPageBreak/>
        <w:t>为将有,同时湘淮军的饷需也由将帅“就地筹划”得来,而非由清廷户部调拨,总督、巡抚就利用手中的兵权,独揽地方上的民政、财政、司法诸大权。</w:t>
      </w:r>
    </w:p>
    <w:p w:rsidR="00FA2955" w:rsidRPr="00547A21" w:rsidRDefault="00FA2955" w:rsidP="004F4F9C">
      <w:pPr>
        <w:tabs>
          <w:tab w:val="left" w:pos="1871"/>
          <w:tab w:val="left" w:pos="3407"/>
          <w:tab w:val="left" w:pos="4949"/>
          <w:tab w:val="left" w:pos="6599"/>
        </w:tabs>
        <w:spacing w:line="360" w:lineRule="auto"/>
        <w:jc w:val="right"/>
        <w:rPr>
          <w:rFonts w:ascii="宋体" w:eastAsia="宋体" w:hAnsi="宋体"/>
          <w:sz w:val="21"/>
        </w:rPr>
      </w:pPr>
      <w:r w:rsidRPr="00547A21">
        <w:rPr>
          <w:rFonts w:ascii="宋体" w:eastAsia="宋体" w:hAnsi="宋体"/>
          <w:sz w:val="21"/>
        </w:rPr>
        <w:t>——摘编自郑师渠《中国近代史》</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材料二　清王朝的覆灭,固然因革命的冲击所致,但需要进一步追问的是,清王朝何以在武昌起义后迅速土崩瓦解?宣统年间,摄政王载沣极力集权于皇族亲贵,将中央集权推至极致。然而,清廷的实际主政者摄政王载沣与隆裕太后都不是强有力的核心人物,通过新政所企求的中央集权,并没有真正地强化中央政权,同时还失去了对地方的实际控制力。在清廷中央集权的过程中,地方督抚权力相应地大为削弱,实际上是一种“内外皆轻”的权力格局。清廷把各省新军的指挥权、调遣权统归军谘府、陆军部,削去地方督抚的兵权,是最为致命的。地方督抚面对革命,除少数顺应世变潮流以外,多数督抚想效忠清王朝,但大都有心无力而已。当清廷中央与地方督抚权威一并衰落之时,军人势力乘势而起,出现军人干政,袁世凯正是依靠其北洋系军人的支持,而顺利地逼清帝退位,并攫取了民国大总统职位。</w:t>
      </w:r>
    </w:p>
    <w:p w:rsidR="00FA2955" w:rsidRPr="00547A21" w:rsidRDefault="00FA2955" w:rsidP="004F4F9C">
      <w:pPr>
        <w:tabs>
          <w:tab w:val="left" w:pos="1871"/>
          <w:tab w:val="left" w:pos="3407"/>
          <w:tab w:val="left" w:pos="4949"/>
          <w:tab w:val="left" w:pos="6599"/>
        </w:tabs>
        <w:spacing w:line="360" w:lineRule="auto"/>
        <w:jc w:val="right"/>
        <w:rPr>
          <w:rFonts w:ascii="宋体" w:eastAsia="宋体" w:hAnsi="宋体"/>
          <w:sz w:val="21"/>
        </w:rPr>
      </w:pPr>
      <w:r w:rsidRPr="00547A21">
        <w:rPr>
          <w:rFonts w:ascii="宋体" w:eastAsia="宋体" w:hAnsi="宋体"/>
          <w:sz w:val="21"/>
        </w:rPr>
        <w:t>——摘编自李细珠《辛亥鼎革之际地方督抚的出处抉择》</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(1)根据材料一并结合所学知识,概括指出1860年前后清朝政局的重大变化,并分析其原因及影响。</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rPr>
        <w:t>(2)根据材料二并结合所学知识,概括清王朝迅速垮台的原因。综上所述,谈谈晚清政府处理中央与地方关系的教训。</w:t>
      </w:r>
    </w:p>
    <w:p w:rsidR="00FA2955" w:rsidRPr="00547A21" w:rsidRDefault="00FA2955" w:rsidP="004F4F9C">
      <w:pPr>
        <w:tabs>
          <w:tab w:val="left" w:pos="1871"/>
          <w:tab w:val="left" w:pos="3407"/>
          <w:tab w:val="left" w:pos="4949"/>
          <w:tab w:val="left" w:pos="6599"/>
        </w:tabs>
        <w:spacing w:line="360" w:lineRule="auto"/>
        <w:rPr>
          <w:rFonts w:ascii="宋体" w:eastAsia="宋体" w:hAnsi="宋体"/>
          <w:sz w:val="21"/>
        </w:rPr>
      </w:pPr>
      <w:r w:rsidRPr="00547A21">
        <w:rPr>
          <w:rFonts w:ascii="宋体" w:eastAsia="宋体" w:hAnsi="宋体"/>
          <w:sz w:val="21"/>
          <w:bdr w:val="single" w:sz="4" w:space="0" w:color="000000"/>
          <w:shd w:val="solid" w:color="E6E6E6" w:fill="auto"/>
        </w:rPr>
        <w:t>参考答案</w:t>
      </w:r>
      <w:r w:rsidRPr="00547A21">
        <w:rPr>
          <w:rFonts w:ascii="宋体" w:eastAsia="宋体" w:hAnsi="宋体"/>
          <w:sz w:val="21"/>
        </w:rPr>
        <w:t>(1)变化:在地方权力结构中,满汉势力出现了根本性的变化,满洲官员的比例大幅度下降,汉族官员的比例迅速上升。</w:t>
      </w:r>
    </w:p>
    <w:p w:rsidR="00FA2955" w:rsidRPr="00547A21" w:rsidRDefault="00FA2955" w:rsidP="00547A21">
      <w:pPr>
        <w:tabs>
          <w:tab w:val="left" w:pos="1871"/>
          <w:tab w:val="left" w:pos="3407"/>
          <w:tab w:val="left" w:pos="4949"/>
          <w:tab w:val="left" w:pos="6599"/>
        </w:tabs>
        <w:spacing w:line="360" w:lineRule="auto"/>
        <w:ind w:firstLineChars="200" w:firstLine="420"/>
        <w:rPr>
          <w:rFonts w:ascii="宋体" w:eastAsia="宋体" w:hAnsi="宋体"/>
          <w:sz w:val="21"/>
        </w:rPr>
      </w:pPr>
      <w:r w:rsidRPr="00547A21">
        <w:rPr>
          <w:rFonts w:ascii="宋体" w:eastAsia="宋体" w:hAnsi="宋体"/>
          <w:sz w:val="21"/>
        </w:rPr>
        <w:t>原因:太平天国运动沉重地打击了清王朝的统治;湘淮军成为清军主力;清廷政策调整,重用汉族地主阶级;洋务运动兴起。</w:t>
      </w:r>
    </w:p>
    <w:p w:rsidR="00FA2955" w:rsidRPr="00547A21" w:rsidRDefault="00FA2955" w:rsidP="00547A21">
      <w:pPr>
        <w:tabs>
          <w:tab w:val="left" w:pos="1871"/>
          <w:tab w:val="left" w:pos="3407"/>
          <w:tab w:val="left" w:pos="4949"/>
          <w:tab w:val="left" w:pos="6599"/>
        </w:tabs>
        <w:spacing w:line="360" w:lineRule="auto"/>
        <w:ind w:firstLineChars="200" w:firstLine="420"/>
        <w:rPr>
          <w:rFonts w:ascii="宋体" w:eastAsia="宋体" w:hAnsi="宋体"/>
          <w:sz w:val="21"/>
        </w:rPr>
      </w:pPr>
      <w:r w:rsidRPr="00547A21">
        <w:rPr>
          <w:rFonts w:ascii="宋体" w:eastAsia="宋体" w:hAnsi="宋体"/>
          <w:sz w:val="21"/>
        </w:rPr>
        <w:t>影响:短期来看有助于镇压太平天国运动,维护清王朝统治;长期来说,地方势力的兴起,出现了内轻外重、“督、抚专政”的局面,削弱了清王朝的中央集权。</w:t>
      </w:r>
    </w:p>
    <w:p w:rsidR="00FA2955" w:rsidRPr="00547A21" w:rsidRDefault="00FA2955" w:rsidP="00547A21">
      <w:pPr>
        <w:tabs>
          <w:tab w:val="left" w:pos="1871"/>
          <w:tab w:val="left" w:pos="3407"/>
          <w:tab w:val="left" w:pos="4949"/>
          <w:tab w:val="left" w:pos="6599"/>
        </w:tabs>
        <w:spacing w:line="360" w:lineRule="auto"/>
        <w:ind w:firstLineChars="200" w:firstLine="420"/>
        <w:rPr>
          <w:rFonts w:ascii="宋体" w:eastAsia="宋体" w:hAnsi="宋体"/>
          <w:sz w:val="21"/>
        </w:rPr>
      </w:pPr>
      <w:r w:rsidRPr="00547A21">
        <w:rPr>
          <w:rFonts w:ascii="宋体" w:eastAsia="宋体" w:hAnsi="宋体"/>
          <w:sz w:val="21"/>
        </w:rPr>
        <w:t>(2)原因:辛亥革命的冲击;皇族内阁导致统治集团内部分裂;“内外皆轻”权力格局;北洋军阀势力崛起,军人干政。</w:t>
      </w:r>
    </w:p>
    <w:p w:rsidR="00FA2955" w:rsidRPr="00547A21" w:rsidRDefault="00FA2955" w:rsidP="00547A21">
      <w:pPr>
        <w:tabs>
          <w:tab w:val="left" w:pos="1871"/>
          <w:tab w:val="left" w:pos="3407"/>
          <w:tab w:val="left" w:pos="4949"/>
          <w:tab w:val="left" w:pos="6599"/>
        </w:tabs>
        <w:spacing w:line="360" w:lineRule="auto"/>
        <w:ind w:firstLineChars="200" w:firstLine="420"/>
        <w:rPr>
          <w:rFonts w:ascii="宋体" w:eastAsia="宋体" w:hAnsi="宋体"/>
          <w:sz w:val="21"/>
        </w:rPr>
      </w:pPr>
      <w:r w:rsidRPr="00547A21">
        <w:rPr>
          <w:rFonts w:ascii="宋体" w:eastAsia="宋体" w:hAnsi="宋体"/>
          <w:sz w:val="21"/>
        </w:rPr>
        <w:t>教训:地方权力过大,造成中央政府政令不行,严重威胁了中央的权威与统治;新政及“预备立宪”影响了地方的稳定与发展;丧失了对军队的控制。</w:t>
      </w:r>
    </w:p>
    <w:sectPr w:rsidR="00FA2955" w:rsidRPr="00547A21"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A18" w:rsidRDefault="00B41A18">
      <w:r>
        <w:separator/>
      </w:r>
    </w:p>
  </w:endnote>
  <w:endnote w:type="continuationSeparator" w:id="1">
    <w:p w:rsidR="00B41A18" w:rsidRDefault="00B41A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F9C" w:rsidRDefault="00F4608D" w:rsidP="00F31C58">
    <w:pPr>
      <w:pStyle w:val="a5"/>
      <w:framePr w:wrap="around" w:vAnchor="text" w:hAnchor="margin" w:xAlign="right" w:y="1"/>
      <w:rPr>
        <w:rStyle w:val="ae"/>
      </w:rPr>
    </w:pPr>
    <w:r>
      <w:rPr>
        <w:rStyle w:val="ae"/>
      </w:rPr>
      <w:fldChar w:fldCharType="begin"/>
    </w:r>
    <w:r w:rsidR="004F4F9C">
      <w:rPr>
        <w:rStyle w:val="ae"/>
      </w:rPr>
      <w:instrText xml:space="preserve">PAGE  </w:instrText>
    </w:r>
    <w:r>
      <w:rPr>
        <w:rStyle w:val="ae"/>
      </w:rPr>
      <w:fldChar w:fldCharType="end"/>
    </w:r>
  </w:p>
  <w:p w:rsidR="004F4F9C" w:rsidRDefault="004F4F9C" w:rsidP="004F4F9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F9C" w:rsidRDefault="00F4608D" w:rsidP="00F31C58">
    <w:pPr>
      <w:pStyle w:val="a5"/>
      <w:framePr w:wrap="around" w:vAnchor="text" w:hAnchor="margin" w:xAlign="right" w:y="1"/>
      <w:rPr>
        <w:rStyle w:val="ae"/>
      </w:rPr>
    </w:pPr>
    <w:r>
      <w:rPr>
        <w:rStyle w:val="ae"/>
      </w:rPr>
      <w:fldChar w:fldCharType="begin"/>
    </w:r>
    <w:r w:rsidR="004F4F9C">
      <w:rPr>
        <w:rStyle w:val="ae"/>
      </w:rPr>
      <w:instrText xml:space="preserve">PAGE  </w:instrText>
    </w:r>
    <w:r>
      <w:rPr>
        <w:rStyle w:val="ae"/>
      </w:rPr>
      <w:fldChar w:fldCharType="separate"/>
    </w:r>
    <w:r w:rsidR="00547A21">
      <w:rPr>
        <w:rStyle w:val="ae"/>
        <w:noProof/>
      </w:rPr>
      <w:t>1</w:t>
    </w:r>
    <w:r>
      <w:rPr>
        <w:rStyle w:val="ae"/>
      </w:rPr>
      <w:fldChar w:fldCharType="end"/>
    </w:r>
  </w:p>
  <w:p w:rsidR="004F4F9C" w:rsidRDefault="004F4F9C" w:rsidP="004F4F9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A18" w:rsidRDefault="00B41A18">
      <w:r>
        <w:separator/>
      </w:r>
    </w:p>
  </w:footnote>
  <w:footnote w:type="continuationSeparator" w:id="1">
    <w:p w:rsidR="00B41A18" w:rsidRDefault="00B41A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FA2955"/>
    <w:rsid w:val="0000142D"/>
    <w:rsid w:val="0000487B"/>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D6D07"/>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4F9C"/>
    <w:rsid w:val="004F5EFC"/>
    <w:rsid w:val="00501469"/>
    <w:rsid w:val="00532504"/>
    <w:rsid w:val="00534370"/>
    <w:rsid w:val="00534AA2"/>
    <w:rsid w:val="005364C0"/>
    <w:rsid w:val="0054220D"/>
    <w:rsid w:val="005424B3"/>
    <w:rsid w:val="005443A1"/>
    <w:rsid w:val="00547A2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8749D"/>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1A18"/>
    <w:rsid w:val="00B4428E"/>
    <w:rsid w:val="00B53802"/>
    <w:rsid w:val="00B5447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608D"/>
    <w:rsid w:val="00F53876"/>
    <w:rsid w:val="00F56941"/>
    <w:rsid w:val="00F95F45"/>
    <w:rsid w:val="00FA0BFD"/>
    <w:rsid w:val="00FA11E1"/>
    <w:rsid w:val="00FA295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2955"/>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FA2955"/>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8D4FD-E0D4-46BE-ADAF-1D5F718E9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3303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2019-01-16T14:10:00Z</dcterms:created>
  <dcterms:modified xsi:type="dcterms:W3CDTF">2019-03-11T08:47:00Z</dcterms:modified>
  <cp:category> </cp:category>
</cp:coreProperties>
</file>