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95D" w:rsidRPr="00E8623B" w:rsidRDefault="007B095D" w:rsidP="00E8623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E8623B">
        <w:rPr>
          <w:rFonts w:ascii="宋体" w:eastAsia="宋体" w:hAnsi="宋体"/>
          <w:b/>
          <w:color w:val="FF0000"/>
          <w:sz w:val="28"/>
        </w:rPr>
        <w:t>课时规范练34　明清之际活跃的儒家思想</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一、选择题</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w:t>
      </w:r>
      <w:r w:rsidRPr="00E8623B">
        <w:rPr>
          <w:rFonts w:ascii="宋体" w:eastAsia="宋体" w:hAnsi="宋体"/>
          <w:sz w:val="21"/>
        </w:rPr>
        <w:t>.(2018全国Ⅱ卷“超级全能生”联考,5)明中叶以后在经济上产生了有别于封建生产关系的资本主义萌芽,在文化上涌现出与正统思想相叛离的因素。对“与正统思想相叛离的因素”评价正确的是(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A.反映了新兴资产阶级的要求</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B.传统儒学进入反思和批判阶段</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C.突破了封建专制主义思想体系</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D.促进面向世界和重视实践的风气形成</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明清之际我国并未出现真正的资产阶级,只是出现资本主义萌芽,故A项错误;明末清初,黄宗羲、顾炎武和王夫之三位进步思想家对传统儒学的批判继承,与材料中“在文化上涌现出与正统思想相叛离的因素”相符,故B项正确;明末清初,进步思想家对传统儒学的批判继承,促使我国传统文化重新焕发了生机,但儒家思想仍未获得突破,故C项错误;明清之际,由于统治阶级思想压迫,并未走向世界,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2</w:t>
      </w:r>
      <w:r w:rsidRPr="00E8623B">
        <w:rPr>
          <w:rFonts w:ascii="宋体" w:eastAsia="宋体" w:hAnsi="宋体"/>
          <w:sz w:val="21"/>
        </w:rPr>
        <w:t>.(2018山东济宁期末,7)明代中叶的思想家李贽认为:“千百余年而独无是非者,岂其人无是非哉?咸以孔子之是非为是非,故未尝有是非耳。”这表明其思想的突出特点是(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A.离经叛道</w:t>
      </w:r>
      <w:r w:rsidRPr="00E8623B">
        <w:rPr>
          <w:rFonts w:ascii="宋体" w:eastAsia="宋体" w:hAnsi="宋体"/>
          <w:sz w:val="21"/>
        </w:rPr>
        <w:tab/>
        <w:t>B.追求真理</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C.反对理学</w:t>
      </w:r>
      <w:r w:rsidRPr="00E8623B">
        <w:rPr>
          <w:rFonts w:ascii="宋体" w:eastAsia="宋体" w:hAnsi="宋体"/>
          <w:sz w:val="21"/>
        </w:rPr>
        <w:tab/>
        <w:t>D.强调民本</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A</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材料中强调的是李贽主张不以孔子之是非为是非,反对盲从孔子的观点,这对几千年来把孔子奉为至圣先师的传统儒学来说,是离经叛道的思想,故A项正确,材料说“千百余年而独无是非者,岂其人无是非哉?”讲的是一个人一定会有过错,这跟追求真理无关,故B项错误;材料中体现了李贽反对盲从孔子,但是不能说明他就反对理学,故C项错误;材料讲的是不以孔子之是非为是非,与民本观点无关,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lastRenderedPageBreak/>
        <w:t>3</w:t>
      </w:r>
      <w:r w:rsidRPr="00E8623B">
        <w:rPr>
          <w:rFonts w:ascii="宋体" w:eastAsia="宋体" w:hAnsi="宋体"/>
          <w:sz w:val="21"/>
        </w:rPr>
        <w:t>.(2018河北邢台质检,7)李贽把因变法而使国家富强的商鞅、申不害说成是英雄好汉,对于荀卿之学,李贽认为其“真实有用,与俗儒不同”。李贽这些思想(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A.动摇了儒家思想的正统地位</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B.有利于实学思潮的产生</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C.增强了人们变革社会的信心</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D.使“法治”观念深入人心</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儒家思想的正统地位被动摇是在近代新文化运动之后,故A项错误;从材料“把因变法而使国家富强的商鞅、申不害说成是英雄好汉”“真实有用,与俗儒不同”可以看出,李贽强调学说要有实际用处,这有利于实学思潮的产生,故B项正确;材料强调的是经世致用思想,反对的是理学的空谈义理,所以并不能起到增强了人们变革社会的信心,故C项错误;材料中李贽赞扬商鞅、申不害并不是弘扬法治,而是强调实学,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4</w:t>
      </w:r>
      <w:r w:rsidRPr="00E8623B">
        <w:rPr>
          <w:rFonts w:ascii="宋体" w:eastAsia="宋体" w:hAnsi="宋体"/>
          <w:sz w:val="21"/>
        </w:rPr>
        <w:t>.(2018江西南昌二模,26)有人记述李贽点评《水浒传》时写道:“盖和尚(李贽)——肚皮不合时宜……所评《水浒传》,玩世之词十七,持世之词十三,然玩世处亦俱持世心肠也,但以戏言出之耳,高明者自能得之语言文字之外。”这体现出李贽(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A.深受佛道思想影响</w:t>
      </w:r>
      <w:r w:rsidRPr="00E8623B">
        <w:rPr>
          <w:rFonts w:ascii="宋体" w:eastAsia="宋体" w:hAnsi="宋体"/>
          <w:sz w:val="21"/>
        </w:rPr>
        <w:tab/>
        <w:t>B.文学修养极高</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C.具有社会批判精神</w:t>
      </w:r>
      <w:r w:rsidRPr="00E8623B">
        <w:rPr>
          <w:rFonts w:ascii="宋体" w:eastAsia="宋体" w:hAnsi="宋体"/>
          <w:sz w:val="21"/>
        </w:rPr>
        <w:tab/>
        <w:t>D.对儒学的反叛</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C</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材料中并没有提及佛道思想,故A项错误;文化修养显然并不是对材料中李贽的评价,这属于对材料中“高明者自能得之语言文字之外”的片面解读,故B项错误;根据材料“盖和尚(李贽)——肚皮不合时宜……所评《水浒传》,玩世之词十七,持世之词十三,然玩世处亦俱持世心肠也,但以戏言出之耳,高明者自能得之语言文字之外”可知,李贽的言论具有很强的社会批判精神,故C项正确;材料中并没有提及李贽对待传统儒学的态度,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5</w:t>
      </w:r>
      <w:r w:rsidRPr="00E8623B">
        <w:rPr>
          <w:rFonts w:ascii="宋体" w:eastAsia="宋体" w:hAnsi="宋体"/>
          <w:sz w:val="21"/>
        </w:rPr>
        <w:t>.(2018湖南长郡中学考前保温卷一,27)明清时期有思想家认为,君臣的职责都是为天下服务,君臣是共治天下的“师友”,彼此的关系是相互唱和、共同协力。据此推断,该思想家(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A.要求恢复三省六部制</w:t>
      </w:r>
      <w:r w:rsidRPr="00E8623B">
        <w:rPr>
          <w:rFonts w:ascii="宋体" w:eastAsia="宋体" w:hAnsi="宋体"/>
          <w:sz w:val="21"/>
        </w:rPr>
        <w:tab/>
        <w:t>B.主张限制君主专制</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lastRenderedPageBreak/>
        <w:t>C.倡导实行君主立宪制</w:t>
      </w:r>
      <w:r w:rsidRPr="00E8623B">
        <w:rPr>
          <w:rFonts w:ascii="宋体" w:eastAsia="宋体" w:hAnsi="宋体"/>
          <w:sz w:val="21"/>
        </w:rPr>
        <w:tab/>
        <w:t>D.反对废除宰相制度</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材料强调“君臣是共治天下的‘师友’,彼此的关系是相互唱和、共同协力”,没有涉及恢复三省六部制,故A项错误;“君臣是共治天下的‘师友’,彼此的关系是相互唱和、共同协力”体现的是反对君主专制,主张限制君权,故B项正确;倡导实行君主立宪制说法错误,故C项错误;材料没有反映反对废除宰相制度,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6</w:t>
      </w:r>
      <w:r w:rsidRPr="00E8623B">
        <w:rPr>
          <w:rFonts w:ascii="宋体" w:eastAsia="宋体" w:hAnsi="宋体"/>
          <w:sz w:val="21"/>
        </w:rPr>
        <w:t>.(2018新疆乌鲁木齐一模,22)梁启超认为,“对于三千年专制政治思想为极大胆的反抗,在三十年前我们当学生时代,实为刺激青年最有力之兴奋剂。我自己的政治运动,可以说是受这部书的影响最早而最深”。梁启超提到的“这部书”是(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A.《焚书》</w:t>
      </w:r>
      <w:r w:rsidRPr="00E8623B">
        <w:rPr>
          <w:rFonts w:ascii="宋体" w:eastAsia="宋体" w:hAnsi="宋体"/>
          <w:sz w:val="21"/>
        </w:rPr>
        <w:tab/>
        <w:t>B.《明夷待访录》</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C.《孔子改制考》</w:t>
      </w:r>
      <w:r w:rsidRPr="00E8623B">
        <w:rPr>
          <w:rFonts w:ascii="宋体" w:eastAsia="宋体" w:hAnsi="宋体"/>
          <w:sz w:val="21"/>
        </w:rPr>
        <w:tab/>
        <w:t>D.《驳康有为论革命书》</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焚书》反对封建传统思想,故A项错误;“对于三千年专制政治思想为极大胆的反抗”指的是明清之际反对君主专制,而黄宗羲《明夷待访录》批判君主专制,故B项正确;《孔子改制考》是康有为假托孔子进行改制,主张推行君主立宪制的著作,书中并没有对专制政治思想进行极大胆的反抗,故C项错误;《驳康有为论革命书》是章太炎的革命著作,是为批评康有为的改革思想,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7</w:t>
      </w:r>
      <w:r w:rsidRPr="00E8623B">
        <w:rPr>
          <w:rFonts w:ascii="宋体" w:eastAsia="宋体" w:hAnsi="宋体"/>
          <w:sz w:val="21"/>
        </w:rPr>
        <w:t>.(2018湖南衡阳二模,27)黄宗羲素有“中国伏尔泰”之称誉。他痛斥君主专制是天下最大的祸害,提出“天下为主,君为客”的民本思想,进而主张限制君权,保证人民的基本权利。同时他又指出,“有明之无善治,自高皇帝(明太祖)罢丞相始也”。这反映了黄宗羲(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A.主张实行君主立宪制</w:t>
      </w:r>
      <w:r w:rsidRPr="00E8623B">
        <w:rPr>
          <w:rFonts w:ascii="宋体" w:eastAsia="宋体" w:hAnsi="宋体"/>
          <w:sz w:val="21"/>
        </w:rPr>
        <w:tab/>
        <w:t>B.接受西方主权在民思想</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C.主张恢复宰相制度</w:t>
      </w:r>
      <w:r w:rsidRPr="00E8623B">
        <w:rPr>
          <w:rFonts w:ascii="宋体" w:eastAsia="宋体" w:hAnsi="宋体"/>
          <w:sz w:val="21"/>
        </w:rPr>
        <w:tab/>
        <w:t>D.未跳出明君贤吏的窠巢</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D</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君主立宪是资本主义的政治体制,故A项错误;黄宗羲的思想仍属于儒家思想,并未接受西方的主权在民思想,故B项错误;黄宗羲主张对君权进行限制,但并未提出恢复宰相制度,故C项错误;黄宗羲反对君主专制但并不反对君主制度,只是要求开明君主统治,并有贤吏辅助,故D项正确。</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lastRenderedPageBreak/>
        <w:t>8</w:t>
      </w:r>
      <w:r w:rsidRPr="00E8623B">
        <w:rPr>
          <w:rFonts w:ascii="宋体" w:eastAsia="宋体" w:hAnsi="宋体"/>
          <w:sz w:val="21"/>
        </w:rPr>
        <w:t>.(2018广东清远期末,27)明末清初,有学者认为:“君子之为学,以明道也,以救世也。徒以诗文而已,所谓雕虫篆刻,亦何益哉。”据材料可知(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A.学者提倡经世致用之学</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B.学者提倡君主应以文学救世</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C.学者主张“心性空谈”</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D.学者主张从根本上推翻宗法专制制度</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A</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由材料“君子之为学,以明道也,以救世也”可以推知学者主张经世致用,故A项正确;材料中的主语是“君子”非“君主”,且该学者反对仅仅靠“诗文”,认为是雕虫篆刻,故B项错误;材料中学者反对空谈,故C项错误;明末清初的思想家还只是对儒家思想的弊端或者君主专制抨击而已,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9</w:t>
      </w:r>
      <w:r w:rsidRPr="00E8623B">
        <w:rPr>
          <w:rFonts w:ascii="宋体" w:eastAsia="宋体" w:hAnsi="宋体"/>
          <w:sz w:val="21"/>
        </w:rPr>
        <w:t>.(2018安徽五校联考,6)顾炎武在《日知录》一书中说:天下太平,则小官多,大官少;天下大乱,则必然是大官多而小官少。此语意在说明(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A.官员冗滥导致效率低下</w:t>
      </w:r>
      <w:r w:rsidRPr="00E8623B">
        <w:rPr>
          <w:rFonts w:ascii="宋体" w:eastAsia="宋体" w:hAnsi="宋体"/>
          <w:sz w:val="21"/>
        </w:rPr>
        <w:tab/>
        <w:t>B.吏治腐败威胁统治秩序</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C.过度集权危害社会安定</w:t>
      </w:r>
      <w:r w:rsidRPr="00E8623B">
        <w:rPr>
          <w:rFonts w:ascii="宋体" w:eastAsia="宋体" w:hAnsi="宋体"/>
          <w:sz w:val="21"/>
        </w:rPr>
        <w:tab/>
        <w:t>D.暴政统治影响政治稳定</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C</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材料中强调的是中央官职和地方行政组织的架构问题,而非冗官问题,故A项错误;材料中强调的是官员设置问题,而不是吏治腐败,故B项错误;根据材料分析,天下大乱在于官员设置时层级太多,即管官的大官过多,过度集权危害社会安定,故C项正确;材料强调的是官职设置问题,而不是暴政问题,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10</w:t>
      </w:r>
      <w:r w:rsidRPr="00E8623B">
        <w:rPr>
          <w:rFonts w:ascii="宋体" w:eastAsia="宋体" w:hAnsi="宋体"/>
          <w:sz w:val="21"/>
        </w:rPr>
        <w:t>.(2018安徽“江淮十校”第三次联考,27)关于“封建制”与“郡县制”的争论,秦汉和唐朝是两个高潮,主要是围绕王朝行政体制的优劣主题进行争论。明末清初,这一争论又出现一次高潮,黄宗羲、顾炎武、颜元等人,力主“复封建”,对有关“封建”问题的讨论,寓以了新的意涵。“新的意涵”之核心是(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A.提倡经世致用</w:t>
      </w:r>
      <w:r w:rsidRPr="00E8623B">
        <w:rPr>
          <w:rFonts w:ascii="宋体" w:eastAsia="宋体" w:hAnsi="宋体"/>
          <w:sz w:val="21"/>
        </w:rPr>
        <w:tab/>
        <w:t>B.反对君主专制</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C.挑战宋明理学</w:t>
      </w:r>
      <w:r w:rsidRPr="00E8623B">
        <w:rPr>
          <w:rFonts w:ascii="宋体" w:eastAsia="宋体" w:hAnsi="宋体"/>
          <w:sz w:val="21"/>
        </w:rPr>
        <w:tab/>
        <w:t>D.弘扬唯物思想</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lastRenderedPageBreak/>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经世致用并没有涉及郡县与分封之争,故A项错误;明清之际的进步思潮,一个主要思想就是反对君主专制,故B项正确;封建制度并不涉及对宋明理学的挑战,故C项错误;材料中并没有涉及唯物思想,故D项错误。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11</w:t>
      </w:r>
      <w:r w:rsidRPr="00E8623B">
        <w:rPr>
          <w:rFonts w:ascii="宋体" w:eastAsia="宋体" w:hAnsi="宋体"/>
          <w:sz w:val="21"/>
        </w:rPr>
        <w:t>.(2018广西柳州摸底,27)王夫之说“理欲皆自然”“理”与“欲”都存在于人的自然状态之中。即“理”是一种客观的自然属性,而“欲”则为人的主观欲求。由此可知,他(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A.要求明确工商业合法地位</w:t>
      </w:r>
      <w:r w:rsidRPr="00E8623B">
        <w:rPr>
          <w:rFonts w:ascii="宋体" w:eastAsia="宋体" w:hAnsi="宋体"/>
          <w:sz w:val="21"/>
        </w:rPr>
        <w:tab/>
        <w:t>B.反对宋明理学“禁欲”思想</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C.具有民主启蒙的意识导向</w:t>
      </w:r>
      <w:r w:rsidRPr="00E8623B">
        <w:rPr>
          <w:rFonts w:ascii="宋体" w:eastAsia="宋体" w:hAnsi="宋体"/>
          <w:sz w:val="21"/>
        </w:rPr>
        <w:tab/>
        <w:t>D.全面阐述了主客观辩证关系</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B</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材料说的“理”与“欲”,没有关于工商业地位的信息,故A项错误;根据题干信息“‘理欲皆自然’‘理’与‘欲’都存在于人的自然状态之中。即‘理’是一种客观的自然属性,而‘欲’则为人的主观欲求”可知王夫之反对宋明理学“禁欲”思想,故B项正确;王夫之有民主启蒙思想,但材料中没有体现,故C项错误;材料说的“理”与“欲”的存在和表现,并没有阐述主客观辩证关系,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12</w:t>
      </w:r>
      <w:r w:rsidRPr="00E8623B">
        <w:rPr>
          <w:rFonts w:ascii="宋体" w:eastAsia="宋体" w:hAnsi="宋体"/>
          <w:sz w:val="21"/>
        </w:rPr>
        <w:t>.(2018山东威海模拟,27)明清之际抨击君主的思潮“无需借助文本的传播,主要是口耳相传,也不受官员士大夫和道德的规范,按照实际生活表现民众的真情实感,编成各种民歌、民谣等,在通衢闹市演唱、传播,以致从官员到民众对皇帝非议成风”。这实际上是(　　)</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A.人们对当时封建秩序的大力抵制</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B.民众追求民主政治的体现</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C.封建小农经济逐步解体的反映</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D.市民文化发展的必然结果</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答案</w:t>
      </w:r>
      <w:r w:rsidRPr="00E8623B">
        <w:rPr>
          <w:rFonts w:ascii="宋体" w:eastAsia="宋体" w:hAnsi="宋体"/>
          <w:sz w:val="21"/>
        </w:rPr>
        <w:t>A</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根据题干可知,明清之际抨击君主的思潮是对现存等级秩序的抵制和打击,故A项正确;题干反映的是人们对当时封建秩序的抵制,不是民众追求民主政治,故B项错误;鸦片战争之后,小农经济逐渐解体,故C项错误;题干反映的是人们对当时封建秩序的抵制,不是市民文化发展的必然结果,故D项错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lastRenderedPageBreak/>
        <w:t>二、非选择题</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13</w:t>
      </w:r>
      <w:r w:rsidRPr="00E8623B">
        <w:rPr>
          <w:rFonts w:ascii="宋体" w:eastAsia="宋体" w:hAnsi="宋体"/>
          <w:sz w:val="21"/>
        </w:rPr>
        <w:t>.明清之际,中国传统文化和文学的发展面临新的机遇和挑战。阅读材料,完成下列要求。</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材料一　明清之际进步思想家黄宗羲提出“天下为主,君为客”的君主四线,主张以“天下之法”取代“一家之法”。顾炎武认为“王(阳明)学末流不习六艺之文,不考百王之典,不综当代之务,以明心见性之空言,代修己治人之实学”,终至“神州荡覆,宗社丘墟”。</w:t>
      </w:r>
    </w:p>
    <w:p w:rsidR="007B095D" w:rsidRPr="00E8623B" w:rsidRDefault="007B095D" w:rsidP="00590A39">
      <w:pPr>
        <w:tabs>
          <w:tab w:val="left" w:pos="1871"/>
          <w:tab w:val="left" w:pos="3407"/>
          <w:tab w:val="left" w:pos="4949"/>
          <w:tab w:val="left" w:pos="6599"/>
        </w:tabs>
        <w:spacing w:line="360" w:lineRule="auto"/>
        <w:jc w:val="right"/>
        <w:rPr>
          <w:rFonts w:ascii="宋体" w:eastAsia="宋体" w:hAnsi="宋体"/>
          <w:sz w:val="21"/>
        </w:rPr>
      </w:pPr>
      <w:r w:rsidRPr="00E8623B">
        <w:rPr>
          <w:rFonts w:ascii="宋体" w:eastAsia="宋体" w:hAnsi="宋体"/>
          <w:sz w:val="21"/>
        </w:rPr>
        <w:t>——摘编自陈翠芳《中国儒学总论》</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材料二　借书籍的编纂,剪除各种异端。直到明代的《永乐大典》和清初的《古今图书集成》,也还尚能容纳各书,“直取原文,未尝擅改片语”。然而乾隆时期的《四库全书》就大不一样了,乾隆进行了直接干预……讽刺派代表作《儒林外史》不得收入。与此同时对非儒学正统的爱情作品,清统治者一律斥为“淫”,禁止刊行,如《红楼梦》就被严行禁止。故“四库全书书不全也”!</w:t>
      </w:r>
    </w:p>
    <w:p w:rsidR="007B095D" w:rsidRPr="00E8623B" w:rsidRDefault="007B095D" w:rsidP="00590A39">
      <w:pPr>
        <w:tabs>
          <w:tab w:val="left" w:pos="1871"/>
          <w:tab w:val="left" w:pos="3407"/>
          <w:tab w:val="left" w:pos="4949"/>
          <w:tab w:val="left" w:pos="6599"/>
        </w:tabs>
        <w:spacing w:line="360" w:lineRule="auto"/>
        <w:jc w:val="right"/>
        <w:rPr>
          <w:rFonts w:ascii="宋体" w:eastAsia="宋体" w:hAnsi="宋体"/>
          <w:sz w:val="21"/>
        </w:rPr>
      </w:pPr>
      <w:r w:rsidRPr="00E8623B">
        <w:rPr>
          <w:rFonts w:ascii="宋体" w:eastAsia="宋体" w:hAnsi="宋体"/>
          <w:sz w:val="21"/>
        </w:rPr>
        <w:t>——摘编自林岷《中国文化史概述》</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(1)根据材料一,概括明清之际进步思想的内容,并结合所学知识分析产生这些进步思想的经济因素。</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(2)有学者认为,明清之际对君主专制的批判尽管在当时影响很大,但并没有在历史上开拓出一条新路。请根据材料和所学知识,从政治、经济和思想三方面分析未能开拓新路的原因。</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参考答案</w:t>
      </w:r>
      <w:r w:rsidRPr="00E8623B">
        <w:rPr>
          <w:rFonts w:ascii="宋体" w:eastAsia="宋体" w:hAnsi="宋体"/>
          <w:sz w:val="21"/>
        </w:rPr>
        <w:t>(1)内容:反对君主专制制度;注重实学,讲究经世致用。</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因素:商品经济发展,资本主义萌芽产生,市民阶层壮大。</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(2)原因:明清时期君主专制空前强化;自然经济仍占主导地位,重农抑商、闭关锁国,资本主义萌芽的发展受到严重阻碍;封建正统思想仍占据统治地位,思想专制加强。</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b/>
          <w:sz w:val="21"/>
        </w:rPr>
        <w:t>14</w:t>
      </w:r>
      <w:r w:rsidRPr="00E8623B">
        <w:rPr>
          <w:rFonts w:ascii="宋体" w:eastAsia="宋体" w:hAnsi="宋体"/>
          <w:sz w:val="21"/>
        </w:rPr>
        <w:t>.(2018广东一模,42)阅读材料,完成下列要求。</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材料</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08"/>
        <w:gridCol w:w="4065"/>
      </w:tblGrid>
      <w:tr w:rsidR="007B095D" w:rsidRPr="00E8623B" w:rsidTr="00EF6713">
        <w:trPr>
          <w:jc w:val="center"/>
        </w:trPr>
        <w:tc>
          <w:tcPr>
            <w:tcW w:w="0" w:type="auto"/>
            <w:shd w:val="clear" w:color="auto" w:fill="auto"/>
            <w:tcMar>
              <w:left w:w="0" w:type="dxa"/>
              <w:right w:w="0" w:type="dxa"/>
            </w:tcMar>
            <w:vAlign w:val="center"/>
          </w:tcPr>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t>中国明末清初的思想启蒙</w:t>
            </w:r>
          </w:p>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t>(</w:t>
            </w:r>
            <w:r w:rsidRPr="00E8623B">
              <w:rPr>
                <w:rFonts w:ascii="宋体" w:eastAsia="宋体" w:hAnsi="宋体" w:cs="Times New Roman"/>
                <w:b/>
                <w:sz w:val="21"/>
              </w:rPr>
              <w:t>16</w:t>
            </w:r>
            <w:r w:rsidRPr="00E8623B">
              <w:rPr>
                <w:rFonts w:ascii="宋体" w:eastAsia="宋体" w:hAnsi="宋体" w:cs="Times New Roman"/>
                <w:sz w:val="21"/>
              </w:rPr>
              <w:t>—</w:t>
            </w:r>
            <w:r w:rsidRPr="00E8623B">
              <w:rPr>
                <w:rFonts w:ascii="宋体" w:eastAsia="宋体" w:hAnsi="宋体" w:cs="Times New Roman"/>
                <w:b/>
                <w:sz w:val="21"/>
              </w:rPr>
              <w:t>17</w:t>
            </w:r>
            <w:r w:rsidRPr="00E8623B">
              <w:rPr>
                <w:rFonts w:ascii="宋体" w:eastAsia="宋体" w:hAnsi="宋体" w:cs="Times New Roman"/>
                <w:sz w:val="21"/>
              </w:rPr>
              <w:t>世纪)</w:t>
            </w:r>
          </w:p>
        </w:tc>
        <w:tc>
          <w:tcPr>
            <w:tcW w:w="0" w:type="auto"/>
            <w:shd w:val="clear" w:color="auto" w:fill="auto"/>
            <w:tcMar>
              <w:left w:w="0" w:type="dxa"/>
              <w:right w:w="0" w:type="dxa"/>
            </w:tcMar>
            <w:vAlign w:val="center"/>
          </w:tcPr>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t>欧洲文艺复兴</w:t>
            </w:r>
          </w:p>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t>(</w:t>
            </w:r>
            <w:r w:rsidRPr="00E8623B">
              <w:rPr>
                <w:rFonts w:ascii="宋体" w:eastAsia="宋体" w:hAnsi="宋体" w:cs="Times New Roman"/>
                <w:b/>
                <w:sz w:val="21"/>
              </w:rPr>
              <w:t>14</w:t>
            </w:r>
            <w:r w:rsidRPr="00E8623B">
              <w:rPr>
                <w:rFonts w:ascii="宋体" w:eastAsia="宋体" w:hAnsi="宋体" w:cs="Times New Roman"/>
                <w:sz w:val="21"/>
              </w:rPr>
              <w:t>—</w:t>
            </w:r>
            <w:r w:rsidRPr="00E8623B">
              <w:rPr>
                <w:rFonts w:ascii="宋体" w:eastAsia="宋体" w:hAnsi="宋体" w:cs="Times New Roman"/>
                <w:b/>
                <w:sz w:val="21"/>
              </w:rPr>
              <w:t>17</w:t>
            </w:r>
            <w:r w:rsidRPr="00E8623B">
              <w:rPr>
                <w:rFonts w:ascii="宋体" w:eastAsia="宋体" w:hAnsi="宋体" w:cs="Times New Roman"/>
                <w:sz w:val="21"/>
              </w:rPr>
              <w:t>世纪)</w:t>
            </w:r>
          </w:p>
        </w:tc>
      </w:tr>
      <w:tr w:rsidR="007B095D" w:rsidRPr="00E8623B" w:rsidTr="00EF6713">
        <w:trPr>
          <w:jc w:val="center"/>
        </w:trPr>
        <w:tc>
          <w:tcPr>
            <w:tcW w:w="0" w:type="auto"/>
            <w:shd w:val="clear" w:color="auto" w:fill="auto"/>
            <w:tcMar>
              <w:left w:w="45" w:type="dxa"/>
              <w:right w:w="45" w:type="dxa"/>
            </w:tcMar>
            <w:vAlign w:val="center"/>
          </w:tcPr>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t>明清启蒙运动是在复兴“三代之制”的旗帜下展开的。如黄宗羲等曾以《左传》中民为“神之主”、《孟子》中“民贵君轻”的思想来批判君主专制:“古者以天下为主,君为客,凡君之所毕世而经营者,为天下也。今也以君为主,天下为客,凡天下之无</w:t>
            </w:r>
            <w:r w:rsidRPr="00E8623B">
              <w:rPr>
                <w:rFonts w:ascii="宋体" w:eastAsia="宋体" w:hAnsi="宋体" w:cs="Times New Roman"/>
                <w:sz w:val="21"/>
              </w:rPr>
              <w:lastRenderedPageBreak/>
              <w:t>地而得安宁者,为君也。”早期启蒙运动犹如在理学的磐石下畸形生长的一株弱草,发生的范围主要局限在少数进步思想家中,其影响也未超出少数清醒的地主阶级知识分子及江南一带的士子阶层</w:t>
            </w:r>
          </w:p>
        </w:tc>
        <w:tc>
          <w:tcPr>
            <w:tcW w:w="0" w:type="auto"/>
            <w:shd w:val="clear" w:color="auto" w:fill="auto"/>
            <w:tcMar>
              <w:left w:w="45" w:type="dxa"/>
              <w:right w:w="45" w:type="dxa"/>
            </w:tcMar>
            <w:vAlign w:val="center"/>
          </w:tcPr>
          <w:p w:rsidR="007B095D" w:rsidRPr="00E8623B" w:rsidRDefault="007B095D" w:rsidP="00590A39">
            <w:pPr>
              <w:tabs>
                <w:tab w:val="left" w:pos="1871"/>
                <w:tab w:val="left" w:pos="3407"/>
                <w:tab w:val="left" w:pos="4949"/>
                <w:tab w:val="left" w:pos="6599"/>
              </w:tabs>
              <w:spacing w:line="360" w:lineRule="auto"/>
              <w:rPr>
                <w:rFonts w:ascii="宋体" w:eastAsia="宋体" w:hAnsi="宋体" w:cs="Times New Roman"/>
                <w:sz w:val="21"/>
              </w:rPr>
            </w:pPr>
            <w:r w:rsidRPr="00E8623B">
              <w:rPr>
                <w:rFonts w:ascii="宋体" w:eastAsia="宋体" w:hAnsi="宋体" w:cs="Times New Roman"/>
                <w:sz w:val="21"/>
              </w:rPr>
              <w:lastRenderedPageBreak/>
              <w:t>文艺复兴是通过对希腊罗马灿烂的古典文化的重新高扬而进行的一场以人文主义精神反对封建主义精神的斗争。正如伏尔泰所指出:文艺复兴的重大意义不在于简单复古,而在于“创新”。文艺复兴把人的自由</w:t>
            </w:r>
            <w:r w:rsidRPr="00E8623B">
              <w:rPr>
                <w:rFonts w:ascii="宋体" w:eastAsia="宋体" w:hAnsi="宋体" w:cs="Times New Roman"/>
                <w:sz w:val="21"/>
              </w:rPr>
              <w:lastRenderedPageBreak/>
              <w:t>与解放推到一个新的阶段,标志着人类文明发展史上的一个重要转折</w:t>
            </w:r>
          </w:p>
        </w:tc>
      </w:tr>
    </w:tbl>
    <w:p w:rsidR="007B095D" w:rsidRPr="00E8623B" w:rsidRDefault="007B095D" w:rsidP="00590A39">
      <w:pPr>
        <w:tabs>
          <w:tab w:val="left" w:pos="1871"/>
          <w:tab w:val="left" w:pos="3407"/>
          <w:tab w:val="left" w:pos="4949"/>
          <w:tab w:val="left" w:pos="6599"/>
        </w:tabs>
        <w:spacing w:line="360" w:lineRule="auto"/>
        <w:jc w:val="center"/>
        <w:rPr>
          <w:rFonts w:ascii="宋体" w:eastAsia="宋体" w:hAnsi="宋体"/>
          <w:sz w:val="21"/>
        </w:rPr>
      </w:pPr>
    </w:p>
    <w:p w:rsidR="007B095D" w:rsidRPr="00E8623B" w:rsidRDefault="007B095D" w:rsidP="00590A39">
      <w:pPr>
        <w:tabs>
          <w:tab w:val="left" w:pos="1871"/>
          <w:tab w:val="left" w:pos="3407"/>
          <w:tab w:val="left" w:pos="4949"/>
          <w:tab w:val="left" w:pos="6599"/>
        </w:tabs>
        <w:spacing w:line="360" w:lineRule="auto"/>
        <w:jc w:val="right"/>
        <w:rPr>
          <w:rFonts w:ascii="宋体" w:eastAsia="宋体" w:hAnsi="宋体"/>
          <w:sz w:val="21"/>
        </w:rPr>
      </w:pPr>
      <w:r w:rsidRPr="00E8623B">
        <w:rPr>
          <w:rFonts w:ascii="宋体" w:eastAsia="宋体" w:hAnsi="宋体"/>
          <w:sz w:val="21"/>
        </w:rPr>
        <w:t>——摘编自刘念慈《试析中国早期启蒙运动与</w:t>
      </w:r>
    </w:p>
    <w:p w:rsidR="007B095D" w:rsidRPr="00E8623B" w:rsidRDefault="007B095D" w:rsidP="00590A39">
      <w:pPr>
        <w:tabs>
          <w:tab w:val="left" w:pos="1871"/>
          <w:tab w:val="left" w:pos="3407"/>
          <w:tab w:val="left" w:pos="4949"/>
          <w:tab w:val="left" w:pos="6599"/>
        </w:tabs>
        <w:spacing w:line="360" w:lineRule="auto"/>
        <w:jc w:val="right"/>
        <w:rPr>
          <w:rFonts w:ascii="宋体" w:eastAsia="宋体" w:hAnsi="宋体"/>
          <w:sz w:val="21"/>
        </w:rPr>
      </w:pPr>
      <w:r w:rsidRPr="00E8623B">
        <w:rPr>
          <w:rFonts w:ascii="宋体" w:eastAsia="宋体" w:hAnsi="宋体"/>
          <w:sz w:val="21"/>
        </w:rPr>
        <w:t>欧洲文艺复兴运动的异同》</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rPr>
        <w:t>上表为中国明末清初的思想启蒙与欧洲文艺复兴的对比表。从表中提取相互关联的中外历史信息,自拟论题,并结合所学知识予以阐述。(要求:写明论题,中外关联,史论结合)</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参考答案</w:t>
      </w:r>
      <w:r w:rsidRPr="00E8623B">
        <w:rPr>
          <w:rFonts w:ascii="宋体" w:eastAsia="宋体" w:hAnsi="宋体"/>
          <w:sz w:val="21"/>
        </w:rPr>
        <w:t>示例一</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论题:中国明末清初的思想启蒙与文艺复兴运动都以“复兴”古代思想的形式来反对封建主义。</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阐述:在明末清初尖锐的民族矛盾与阶级矛盾刺激下,启蒙学者以理想化的“三代之制”去衬托“今世之弊”,用传说中的氏族民主制去批判封建君主专制,以“百家争鸣”的诸子学风去声讨盛行于明清的文化专制。14世纪,欧洲资本主义处于萌芽阶段,新兴资产阶级通过对希腊古典文化的重新高扬,用人文主义精神反对封建主义精神,进步的思想界还未形成全新的思想体系。</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总之,当资本主义尚处于萌芽阶段,往往借助古典文化对抗强大的封建主义。</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示例二</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论题:中国明末清初的思想启蒙与文艺复兴运动在性质和影响上大相径庭。</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阐述:从性质来看,中国早期思想启蒙运动没有超越儒家思想的范畴,是对儒家思想的发展;而欧洲文艺复兴运动是一场资产阶级的思想文化运动。从影响来看,中国早期思想启蒙运动虽然冲击了当时的封建专制,但未提出新社会制度构想,未能动摇封建统治的基础,对社会的影响力有限,未能推动社会的转型;文艺复兴运动使人们从封建神学的束缚中解放出来,促进了人文精神的发展,对新航路开辟、欧洲宗教改革和自然科学发展影响重大,为资本主义的发展做了必要的思想文化准备,有力地推动了社会的转型。</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t>总之,中西方资本主义发展的程度差异带来了二者在性质上与影响上的不同。</w:t>
      </w:r>
    </w:p>
    <w:p w:rsidR="007B095D" w:rsidRPr="00E8623B" w:rsidRDefault="007B095D" w:rsidP="00E8623B">
      <w:pPr>
        <w:tabs>
          <w:tab w:val="left" w:pos="1871"/>
          <w:tab w:val="left" w:pos="3407"/>
          <w:tab w:val="left" w:pos="4949"/>
          <w:tab w:val="left" w:pos="6599"/>
        </w:tabs>
        <w:spacing w:line="360" w:lineRule="auto"/>
        <w:ind w:firstLineChars="200" w:firstLine="420"/>
        <w:rPr>
          <w:rFonts w:ascii="宋体" w:eastAsia="宋体" w:hAnsi="宋体"/>
          <w:sz w:val="21"/>
        </w:rPr>
      </w:pPr>
      <w:r w:rsidRPr="00E8623B">
        <w:rPr>
          <w:rFonts w:ascii="宋体" w:eastAsia="宋体" w:hAnsi="宋体"/>
          <w:sz w:val="21"/>
        </w:rPr>
        <w:lastRenderedPageBreak/>
        <w:t>(“示例”仅供参考,其他答案言之成理亦可)</w:t>
      </w:r>
    </w:p>
    <w:p w:rsidR="007B095D" w:rsidRPr="00E8623B" w:rsidRDefault="007B095D" w:rsidP="00590A39">
      <w:pPr>
        <w:tabs>
          <w:tab w:val="left" w:pos="1871"/>
          <w:tab w:val="left" w:pos="3407"/>
          <w:tab w:val="left" w:pos="4949"/>
          <w:tab w:val="left" w:pos="6599"/>
        </w:tabs>
        <w:spacing w:line="360" w:lineRule="auto"/>
        <w:rPr>
          <w:rFonts w:ascii="宋体" w:eastAsia="宋体" w:hAnsi="宋体"/>
          <w:sz w:val="21"/>
        </w:rPr>
      </w:pPr>
      <w:r w:rsidRPr="00E8623B">
        <w:rPr>
          <w:rFonts w:ascii="宋体" w:eastAsia="宋体" w:hAnsi="宋体"/>
          <w:sz w:val="21"/>
          <w:bdr w:val="single" w:sz="4" w:space="0" w:color="000000"/>
          <w:shd w:val="solid" w:color="E6E6E6" w:fill="auto"/>
        </w:rPr>
        <w:t>解析</w:t>
      </w:r>
      <w:r w:rsidRPr="00E8623B">
        <w:rPr>
          <w:rFonts w:ascii="宋体" w:eastAsia="宋体" w:hAnsi="宋体"/>
          <w:sz w:val="21"/>
        </w:rPr>
        <w:t>本题考查中国明清时期的思想启蒙与文艺复兴的比较。首先要分析材料叙述的内容,然后进行分析对比,确定合适的角度进行论述。其次在论述过程中要结合论述的角度进行说明,如本题可选择两者思想的来源,分析其对传统文化的态度,进行说明并分析原因,也可从二者所处的地位及影响进行分析。</w:t>
      </w:r>
    </w:p>
    <w:sectPr w:rsidR="007B095D" w:rsidRPr="00E8623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215" w:rsidRDefault="00D23215">
      <w:r>
        <w:separator/>
      </w:r>
    </w:p>
  </w:endnote>
  <w:endnote w:type="continuationSeparator" w:id="1">
    <w:p w:rsidR="00D23215" w:rsidRDefault="00D232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A39" w:rsidRDefault="00747187" w:rsidP="00F31C58">
    <w:pPr>
      <w:pStyle w:val="a5"/>
      <w:framePr w:wrap="around" w:vAnchor="text" w:hAnchor="margin" w:xAlign="right" w:y="1"/>
      <w:rPr>
        <w:rStyle w:val="ae"/>
      </w:rPr>
    </w:pPr>
    <w:r>
      <w:rPr>
        <w:rStyle w:val="ae"/>
      </w:rPr>
      <w:fldChar w:fldCharType="begin"/>
    </w:r>
    <w:r w:rsidR="00590A39">
      <w:rPr>
        <w:rStyle w:val="ae"/>
      </w:rPr>
      <w:instrText xml:space="preserve">PAGE  </w:instrText>
    </w:r>
    <w:r>
      <w:rPr>
        <w:rStyle w:val="ae"/>
      </w:rPr>
      <w:fldChar w:fldCharType="end"/>
    </w:r>
  </w:p>
  <w:p w:rsidR="00590A39" w:rsidRDefault="00590A39" w:rsidP="00590A3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A39" w:rsidRDefault="00747187" w:rsidP="00F31C58">
    <w:pPr>
      <w:pStyle w:val="a5"/>
      <w:framePr w:wrap="around" w:vAnchor="text" w:hAnchor="margin" w:xAlign="right" w:y="1"/>
      <w:rPr>
        <w:rStyle w:val="ae"/>
      </w:rPr>
    </w:pPr>
    <w:r>
      <w:rPr>
        <w:rStyle w:val="ae"/>
      </w:rPr>
      <w:fldChar w:fldCharType="begin"/>
    </w:r>
    <w:r w:rsidR="00590A39">
      <w:rPr>
        <w:rStyle w:val="ae"/>
      </w:rPr>
      <w:instrText xml:space="preserve">PAGE  </w:instrText>
    </w:r>
    <w:r>
      <w:rPr>
        <w:rStyle w:val="ae"/>
      </w:rPr>
      <w:fldChar w:fldCharType="separate"/>
    </w:r>
    <w:r w:rsidR="00E8623B">
      <w:rPr>
        <w:rStyle w:val="ae"/>
        <w:noProof/>
      </w:rPr>
      <w:t>1</w:t>
    </w:r>
    <w:r>
      <w:rPr>
        <w:rStyle w:val="ae"/>
      </w:rPr>
      <w:fldChar w:fldCharType="end"/>
    </w:r>
  </w:p>
  <w:p w:rsidR="00590A39" w:rsidRDefault="00590A39" w:rsidP="00590A3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215" w:rsidRDefault="00D23215">
      <w:r>
        <w:separator/>
      </w:r>
    </w:p>
  </w:footnote>
  <w:footnote w:type="continuationSeparator" w:id="1">
    <w:p w:rsidR="00D23215" w:rsidRDefault="00D23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7B095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0A39"/>
    <w:rsid w:val="00591E7B"/>
    <w:rsid w:val="005A2465"/>
    <w:rsid w:val="005B35B7"/>
    <w:rsid w:val="005B5282"/>
    <w:rsid w:val="005C0395"/>
    <w:rsid w:val="005C0842"/>
    <w:rsid w:val="005C45A1"/>
    <w:rsid w:val="005D7853"/>
    <w:rsid w:val="005E1024"/>
    <w:rsid w:val="00616090"/>
    <w:rsid w:val="00616C4D"/>
    <w:rsid w:val="00630E3F"/>
    <w:rsid w:val="00635667"/>
    <w:rsid w:val="00635811"/>
    <w:rsid w:val="00640290"/>
    <w:rsid w:val="00641410"/>
    <w:rsid w:val="0064376B"/>
    <w:rsid w:val="00654BFE"/>
    <w:rsid w:val="00661177"/>
    <w:rsid w:val="0067787C"/>
    <w:rsid w:val="00677986"/>
    <w:rsid w:val="00686916"/>
    <w:rsid w:val="00695B12"/>
    <w:rsid w:val="006A2007"/>
    <w:rsid w:val="006A6DF8"/>
    <w:rsid w:val="006C00EE"/>
    <w:rsid w:val="006C33D0"/>
    <w:rsid w:val="006F4093"/>
    <w:rsid w:val="00707D12"/>
    <w:rsid w:val="007119C1"/>
    <w:rsid w:val="00720F43"/>
    <w:rsid w:val="0073067F"/>
    <w:rsid w:val="00747187"/>
    <w:rsid w:val="00755508"/>
    <w:rsid w:val="00756866"/>
    <w:rsid w:val="00763B6A"/>
    <w:rsid w:val="00763BED"/>
    <w:rsid w:val="007678EF"/>
    <w:rsid w:val="00770923"/>
    <w:rsid w:val="00771E64"/>
    <w:rsid w:val="00782962"/>
    <w:rsid w:val="00782D89"/>
    <w:rsid w:val="00783F8F"/>
    <w:rsid w:val="00793FB6"/>
    <w:rsid w:val="007A09C5"/>
    <w:rsid w:val="007A0B44"/>
    <w:rsid w:val="007A3CEF"/>
    <w:rsid w:val="007A5AA3"/>
    <w:rsid w:val="007B095D"/>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3215"/>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623B"/>
    <w:rsid w:val="00E92541"/>
    <w:rsid w:val="00E95E15"/>
    <w:rsid w:val="00E97C64"/>
    <w:rsid w:val="00EA45A2"/>
    <w:rsid w:val="00EA6BE3"/>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095D"/>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7B095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5172-673A-4E2D-A988-F318F66EA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5698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2019-01-16T14:15:00Z</dcterms:created>
  <dcterms:modified xsi:type="dcterms:W3CDTF">2019-03-11T08:49:00Z</dcterms:modified>
  <cp:category> </cp:category>
</cp:coreProperties>
</file>